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>处分申诉书</w:t>
      </w:r>
    </w:p>
    <w:bookmarkEnd w:id="0"/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82"/>
        <w:tblOverlap w:val="never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505"/>
        <w:gridCol w:w="960"/>
        <w:gridCol w:w="528"/>
        <w:gridCol w:w="1497"/>
        <w:gridCol w:w="7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申诉人姓名</w:t>
            </w:r>
          </w:p>
        </w:tc>
        <w:tc>
          <w:tcPr>
            <w:tcW w:w="1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9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原处理或处分单位名称</w:t>
            </w:r>
          </w:p>
        </w:tc>
        <w:tc>
          <w:tcPr>
            <w:tcW w:w="29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提出复查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申诉事项</w:t>
            </w:r>
          </w:p>
        </w:tc>
        <w:tc>
          <w:tcPr>
            <w:tcW w:w="664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申诉理由及请求</w:t>
            </w:r>
          </w:p>
        </w:tc>
        <w:tc>
          <w:tcPr>
            <w:tcW w:w="664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申诉材料是否齐全</w:t>
            </w:r>
          </w:p>
        </w:tc>
        <w:tc>
          <w:tcPr>
            <w:tcW w:w="1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是否符合受案范围和申请申诉的条件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>申诉人签名：</w:t>
      </w:r>
    </w:p>
    <w:p>
      <w:pPr>
        <w:jc w:val="right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提出书面申请复查时，学校原处理决定书的复印件须粘贴于申诉书，否则，申诉书无效；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因特殊情况不能递交书面申诉书者，可以采用口头或录音的形式。采用口头或录音形式的，申诉人须亲自到学生申诉处理办公室口述或递交视听材料，由学生申诉处理委员会秘书记录申诉人的基本情况和申诉的事项、理由、请求以及提出复查申请的日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A803"/>
    <w:multiLevelType w:val="singleLevel"/>
    <w:tmpl w:val="5AC9A8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373F7"/>
    <w:rsid w:val="6D535020"/>
    <w:rsid w:val="773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t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2018-04-19T07:03:00Z</dcterms:created>
  <dc:creator>思想柳叶刀</dc:creator>
  <cp:lastModifiedBy>思想柳叶刀</cp:lastModifiedBy>
  <dcterms:modified xsi:type="dcterms:W3CDTF">2018-04-19T07:04:22Z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